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B60" w:rsidRPr="00A72B60" w:rsidRDefault="00A72B60" w:rsidP="00A72B60">
      <w:pPr>
        <w:shd w:val="clear" w:color="auto" w:fill="FFFFFF"/>
        <w:spacing w:before="100" w:beforeAutospacing="1" w:after="100" w:afterAutospacing="1" w:line="720" w:lineRule="atLeast"/>
        <w:outlineLvl w:val="0"/>
        <w:rPr>
          <w:rFonts w:eastAsia="Times New Roman" w:cstheme="minorHAnsi"/>
          <w:b/>
          <w:color w:val="000000"/>
          <w:kern w:val="36"/>
          <w:sz w:val="28"/>
          <w:szCs w:val="24"/>
          <w:lang w:eastAsia="fr-BE"/>
        </w:rPr>
      </w:pPr>
      <w:r w:rsidRPr="00A72B60">
        <w:rPr>
          <w:rFonts w:eastAsia="Times New Roman" w:cstheme="minorHAnsi"/>
          <w:b/>
          <w:color w:val="000000"/>
          <w:kern w:val="36"/>
          <w:sz w:val="28"/>
          <w:szCs w:val="24"/>
          <w:lang w:eastAsia="fr-BE"/>
        </w:rPr>
        <w:t>La Communauté européenne du charbon et de l'acier bouge encore</w:t>
      </w:r>
    </w:p>
    <w:p w:rsidR="00A72B60" w:rsidRPr="00A72B60" w:rsidRDefault="00A72B60" w:rsidP="00A72B60">
      <w:pPr>
        <w:shd w:val="clear" w:color="auto" w:fill="FFFFFF"/>
        <w:spacing w:after="0" w:line="240" w:lineRule="auto"/>
        <w:outlineLvl w:val="1"/>
        <w:rPr>
          <w:rFonts w:eastAsia="Times New Roman" w:cstheme="minorHAnsi"/>
          <w:color w:val="000000"/>
          <w:sz w:val="24"/>
          <w:szCs w:val="24"/>
          <w:lang w:eastAsia="fr-BE"/>
        </w:rPr>
      </w:pPr>
      <w:r w:rsidRPr="00A72B60">
        <w:rPr>
          <w:rFonts w:eastAsia="Times New Roman" w:cstheme="minorHAnsi"/>
          <w:color w:val="000000"/>
          <w:sz w:val="24"/>
          <w:szCs w:val="24"/>
          <w:lang w:eastAsia="fr-BE"/>
        </w:rPr>
        <w:t>La Cour des comptes européenne suggère d’aligner le fonctionnement du Fonds de recherche du charbon et de l’acier avec les autres programmes s’adressant au secteur. Ce fonds est financé par des recettes tirées du patrimoine de la Communauté européenne du charbon et de l’acier... qui a cessé ses activités en 2002.</w:t>
      </w:r>
    </w:p>
    <w:p w:rsidR="00A72B60" w:rsidRPr="00A72B60" w:rsidRDefault="00A72B60" w:rsidP="00A72B60">
      <w:pPr>
        <w:shd w:val="clear" w:color="auto" w:fill="FFFFFF"/>
        <w:spacing w:before="100" w:beforeAutospacing="1" w:after="100" w:afterAutospacing="1" w:line="240" w:lineRule="auto"/>
        <w:rPr>
          <w:rFonts w:eastAsia="Times New Roman" w:cstheme="minorHAnsi"/>
          <w:color w:val="000000"/>
          <w:sz w:val="24"/>
          <w:szCs w:val="24"/>
          <w:lang w:eastAsia="fr-BE"/>
        </w:rPr>
      </w:pPr>
      <w:r w:rsidRPr="00A72B60">
        <w:rPr>
          <w:rFonts w:eastAsia="Times New Roman" w:cstheme="minorHAnsi"/>
          <w:color w:val="000000"/>
          <w:sz w:val="24"/>
          <w:szCs w:val="24"/>
          <w:lang w:eastAsia="fr-BE"/>
        </w:rPr>
        <w:t>La Communauté européenne du charbon et de l’acier (CECA) n’est pas totalement morte. Elle a pourtant cessé d’exister le 23 juillet 2002, conformément à sa durée de vie initialement prévue de cinquante ans. La Cour des comptes européenne s’est saisie du sujet et a enquêté sur le devenir de l'héritage de la CECA depuis sa liquidation. Elle dispose d’un patrimoine, dont les recettes produites financent le Fonds de recherche du charbon et de l’acier, au fonctionnement aujourd’hui remis en cause.</w:t>
      </w:r>
    </w:p>
    <w:p w:rsidR="00A72B60" w:rsidRPr="00A72B60" w:rsidRDefault="00A72B60" w:rsidP="00A72B60">
      <w:pPr>
        <w:shd w:val="clear" w:color="auto" w:fill="FFFFFF"/>
        <w:spacing w:before="100" w:beforeAutospacing="1" w:after="100" w:afterAutospacing="1" w:line="240" w:lineRule="auto"/>
        <w:rPr>
          <w:rFonts w:eastAsia="Times New Roman" w:cstheme="minorHAnsi"/>
          <w:color w:val="000000"/>
          <w:sz w:val="24"/>
          <w:szCs w:val="24"/>
          <w:lang w:eastAsia="fr-BE"/>
        </w:rPr>
      </w:pPr>
      <w:r w:rsidRPr="00A72B60">
        <w:rPr>
          <w:rFonts w:eastAsia="Times New Roman" w:cstheme="minorHAnsi"/>
          <w:color w:val="000000"/>
          <w:sz w:val="24"/>
          <w:szCs w:val="24"/>
          <w:lang w:eastAsia="fr-BE"/>
        </w:rPr>
        <w:t>Depuis le Traité de Nice du 1er juillet 2003, avec effet rétroactif en juillet 2002, les éléments du patrimoine de la CECA ont été transférés à la Communauté européenne. La Direction générale de la recherche et de l’innovation de la Commission européenne gère le Fonds de recherche du charbon et de l’acier.</w:t>
      </w:r>
    </w:p>
    <w:p w:rsidR="00A72B60" w:rsidRPr="00A72B60" w:rsidRDefault="00A72B60" w:rsidP="00A72B60">
      <w:pPr>
        <w:shd w:val="clear" w:color="auto" w:fill="FFFFFF"/>
        <w:spacing w:before="100" w:beforeAutospacing="1" w:after="100" w:afterAutospacing="1" w:line="240" w:lineRule="auto"/>
        <w:rPr>
          <w:rFonts w:eastAsia="Times New Roman" w:cstheme="minorHAnsi"/>
          <w:color w:val="000000"/>
          <w:sz w:val="24"/>
          <w:szCs w:val="24"/>
          <w:lang w:eastAsia="fr-BE"/>
        </w:rPr>
      </w:pPr>
      <w:r w:rsidRPr="00A72B60">
        <w:rPr>
          <w:rFonts w:eastAsia="Times New Roman" w:cstheme="minorHAnsi"/>
          <w:color w:val="BB0D22"/>
          <w:sz w:val="24"/>
          <w:szCs w:val="24"/>
          <w:lang w:eastAsia="fr-BE"/>
        </w:rPr>
        <w:t>Un fonds de soutien à la recherche piloté par la Commission européenne</w:t>
      </w:r>
    </w:p>
    <w:p w:rsidR="00A72B60" w:rsidRPr="00A72B60" w:rsidRDefault="00A72B60" w:rsidP="00A72B60">
      <w:pPr>
        <w:shd w:val="clear" w:color="auto" w:fill="FFFFFF"/>
        <w:spacing w:before="100" w:beforeAutospacing="1" w:after="100" w:afterAutospacing="1" w:line="240" w:lineRule="auto"/>
        <w:rPr>
          <w:rFonts w:eastAsia="Times New Roman" w:cstheme="minorHAnsi"/>
          <w:color w:val="000000"/>
          <w:sz w:val="24"/>
          <w:szCs w:val="24"/>
          <w:lang w:eastAsia="fr-BE"/>
        </w:rPr>
      </w:pPr>
      <w:r w:rsidRPr="00A72B60">
        <w:rPr>
          <w:rFonts w:eastAsia="Times New Roman" w:cstheme="minorHAnsi"/>
          <w:color w:val="000000"/>
          <w:sz w:val="24"/>
          <w:szCs w:val="24"/>
          <w:lang w:eastAsia="fr-BE"/>
        </w:rPr>
        <w:t>Ce fonds soutient des projets de recherche et d'innovation dans les secteurs du charbon et de l’acier, autour des processus de production, de l’utilisation des ressources, de la sécurité au travail, de l’environnement et de la réduction des émissions de CO2 liées à l'utilisation du charbon et à la production d’acier. 27,2 % des sommes sont destinées à la recherche liée au charbon, 72,8 % à l’acier.</w:t>
      </w:r>
    </w:p>
    <w:p w:rsidR="00A72B60" w:rsidRPr="00A72B60" w:rsidRDefault="00A72B60" w:rsidP="00A72B60">
      <w:pPr>
        <w:shd w:val="clear" w:color="auto" w:fill="FFFFFF"/>
        <w:spacing w:before="100" w:beforeAutospacing="1" w:after="100" w:afterAutospacing="1" w:line="240" w:lineRule="auto"/>
        <w:rPr>
          <w:rFonts w:eastAsia="Times New Roman" w:cstheme="minorHAnsi"/>
          <w:color w:val="000000"/>
          <w:sz w:val="24"/>
          <w:szCs w:val="24"/>
          <w:lang w:eastAsia="fr-BE"/>
        </w:rPr>
      </w:pPr>
      <w:r w:rsidRPr="00A72B60">
        <w:rPr>
          <w:rFonts w:eastAsia="Times New Roman" w:cstheme="minorHAnsi"/>
          <w:color w:val="000000"/>
          <w:sz w:val="24"/>
          <w:szCs w:val="24"/>
          <w:lang w:eastAsia="fr-BE"/>
        </w:rPr>
        <w:t xml:space="preserve">Le fonds est financé par les recettes produites par le patrimoine de la CECA en liquidation. Une cagnotte passée de 420 millions d'euros à 1,5 milliard d'euros entre 2002 et 2018, qui </w:t>
      </w:r>
      <w:proofErr w:type="gramStart"/>
      <w:r w:rsidRPr="00A72B60">
        <w:rPr>
          <w:rFonts w:eastAsia="Times New Roman" w:cstheme="minorHAnsi"/>
          <w:color w:val="000000"/>
          <w:sz w:val="24"/>
          <w:szCs w:val="24"/>
          <w:lang w:eastAsia="fr-BE"/>
        </w:rPr>
        <w:t>fait</w:t>
      </w:r>
      <w:proofErr w:type="gramEnd"/>
      <w:r w:rsidRPr="00A72B60">
        <w:rPr>
          <w:rFonts w:eastAsia="Times New Roman" w:cstheme="minorHAnsi"/>
          <w:color w:val="000000"/>
          <w:sz w:val="24"/>
          <w:szCs w:val="24"/>
          <w:lang w:eastAsia="fr-BE"/>
        </w:rPr>
        <w:t xml:space="preserve"> l’objet de différents placements. Les recettes nettes générées sont mises à la disposition du budget de l'UE de l'exercice et doivent être affectées exclusivement à la recherche dans les secteurs du charbon et de l’acier.</w:t>
      </w:r>
    </w:p>
    <w:p w:rsidR="00A72B60" w:rsidRPr="00A72B60" w:rsidRDefault="00A72B60" w:rsidP="00A72B60">
      <w:pPr>
        <w:shd w:val="clear" w:color="auto" w:fill="FFFFFF"/>
        <w:spacing w:before="100" w:beforeAutospacing="1" w:after="100" w:afterAutospacing="1" w:line="240" w:lineRule="auto"/>
        <w:rPr>
          <w:rFonts w:eastAsia="Times New Roman" w:cstheme="minorHAnsi"/>
          <w:color w:val="000000"/>
          <w:sz w:val="24"/>
          <w:szCs w:val="24"/>
          <w:lang w:eastAsia="fr-BE"/>
        </w:rPr>
      </w:pPr>
      <w:r w:rsidRPr="00A72B60">
        <w:rPr>
          <w:rFonts w:eastAsia="Times New Roman" w:cstheme="minorHAnsi"/>
          <w:color w:val="BB0D22"/>
          <w:sz w:val="24"/>
          <w:szCs w:val="24"/>
          <w:lang w:eastAsia="fr-BE"/>
        </w:rPr>
        <w:t>Une dotation en baisse</w:t>
      </w:r>
    </w:p>
    <w:p w:rsidR="00A72B60" w:rsidRPr="00A72B60" w:rsidRDefault="00A72B60" w:rsidP="00A72B60">
      <w:pPr>
        <w:shd w:val="clear" w:color="auto" w:fill="FFFFFF"/>
        <w:spacing w:before="100" w:beforeAutospacing="1" w:after="100" w:afterAutospacing="1" w:line="240" w:lineRule="auto"/>
        <w:rPr>
          <w:rFonts w:eastAsia="Times New Roman" w:cstheme="minorHAnsi"/>
          <w:color w:val="000000"/>
          <w:sz w:val="24"/>
          <w:szCs w:val="24"/>
          <w:lang w:eastAsia="fr-BE"/>
        </w:rPr>
      </w:pPr>
      <w:r w:rsidRPr="00A72B60">
        <w:rPr>
          <w:rFonts w:eastAsia="Times New Roman" w:cstheme="minorHAnsi"/>
          <w:color w:val="000000"/>
          <w:sz w:val="24"/>
          <w:szCs w:val="24"/>
          <w:lang w:eastAsia="fr-BE"/>
        </w:rPr>
        <w:t>Problème </w:t>
      </w:r>
      <w:r w:rsidRPr="00A72B60">
        <w:rPr>
          <w:rFonts w:eastAsia="Times New Roman" w:cstheme="minorHAnsi"/>
          <w:i/>
          <w:iCs/>
          <w:color w:val="000000"/>
          <w:sz w:val="24"/>
          <w:szCs w:val="24"/>
          <w:lang w:eastAsia="fr-BE"/>
        </w:rPr>
        <w:t>: "en raison de la faiblesse des taux d'intérêt, les revenus des investissements ont considérablement diminué. En conséquence, le financement de projets de recherche dans le domaine du charbon et de l'acier sur la seule base du produit net de la gestion d'actifs n'est plus viable"</w:t>
      </w:r>
      <w:r w:rsidRPr="00A72B60">
        <w:rPr>
          <w:rFonts w:eastAsia="Times New Roman" w:cstheme="minorHAnsi"/>
          <w:color w:val="000000"/>
          <w:sz w:val="24"/>
          <w:szCs w:val="24"/>
          <w:lang w:eastAsia="fr-BE"/>
        </w:rPr>
        <w:t>, explique la Cour des comptes européenne.</w:t>
      </w:r>
    </w:p>
    <w:p w:rsidR="00A72B60" w:rsidRPr="00A72B60" w:rsidRDefault="00A72B60" w:rsidP="00A72B60">
      <w:pPr>
        <w:shd w:val="clear" w:color="auto" w:fill="FFFFFF"/>
        <w:spacing w:before="100" w:beforeAutospacing="1" w:after="100" w:afterAutospacing="1" w:line="240" w:lineRule="auto"/>
        <w:rPr>
          <w:rFonts w:eastAsia="Times New Roman" w:cstheme="minorHAnsi"/>
          <w:color w:val="000000"/>
          <w:sz w:val="24"/>
          <w:szCs w:val="24"/>
          <w:lang w:eastAsia="fr-BE"/>
        </w:rPr>
      </w:pPr>
      <w:r w:rsidRPr="00A72B60">
        <w:rPr>
          <w:rFonts w:eastAsia="Times New Roman" w:cstheme="minorHAnsi"/>
          <w:color w:val="000000"/>
          <w:sz w:val="24"/>
          <w:szCs w:val="24"/>
          <w:lang w:eastAsia="fr-BE"/>
        </w:rPr>
        <w:t>Celle-ci estime qu’en raison des faibles revenus tirés des intérêts, il convient de </w:t>
      </w:r>
      <w:r w:rsidRPr="00A72B60">
        <w:rPr>
          <w:rFonts w:eastAsia="Times New Roman" w:cstheme="minorHAnsi"/>
          <w:i/>
          <w:iCs/>
          <w:color w:val="000000"/>
          <w:sz w:val="24"/>
          <w:szCs w:val="24"/>
          <w:lang w:eastAsia="fr-BE"/>
        </w:rPr>
        <w:t>"simplifier"</w:t>
      </w:r>
      <w:r w:rsidRPr="00A72B60">
        <w:rPr>
          <w:rFonts w:eastAsia="Times New Roman" w:cstheme="minorHAnsi"/>
          <w:color w:val="000000"/>
          <w:sz w:val="24"/>
          <w:szCs w:val="24"/>
          <w:lang w:eastAsia="fr-BE"/>
        </w:rPr>
        <w:t> le financement de la recherche en alignant davantage le fonctionnement du fonds sur d’autres programmes européens. La Cour rappelle que le budget du fonds de recherche du charbon et de l’acier  est passé de 42 millions d'euros en 2017 à 22 millions en 2019, et ne devrait être abondé qu’à hauteur de 12 millions d'euros en 2020.</w:t>
      </w:r>
    </w:p>
    <w:p w:rsidR="00A72B60" w:rsidRPr="00A72B60" w:rsidRDefault="00A72B60" w:rsidP="00A72B60">
      <w:pPr>
        <w:shd w:val="clear" w:color="auto" w:fill="FFFFFF"/>
        <w:spacing w:before="100" w:beforeAutospacing="1" w:after="100" w:afterAutospacing="1" w:line="240" w:lineRule="auto"/>
        <w:rPr>
          <w:rFonts w:eastAsia="Times New Roman" w:cstheme="minorHAnsi"/>
          <w:color w:val="000000"/>
          <w:sz w:val="24"/>
          <w:szCs w:val="24"/>
          <w:lang w:eastAsia="fr-BE"/>
        </w:rPr>
      </w:pPr>
      <w:r w:rsidRPr="00A72B60">
        <w:rPr>
          <w:rFonts w:eastAsia="Times New Roman" w:cstheme="minorHAnsi"/>
          <w:color w:val="BB0D22"/>
          <w:sz w:val="24"/>
          <w:szCs w:val="24"/>
          <w:lang w:eastAsia="fr-BE"/>
        </w:rPr>
        <w:lastRenderedPageBreak/>
        <w:t>L'ancêtre de l'Union</w:t>
      </w:r>
    </w:p>
    <w:p w:rsidR="00A72B60" w:rsidRPr="00A72B60" w:rsidRDefault="00A72B60" w:rsidP="00A72B60">
      <w:pPr>
        <w:shd w:val="clear" w:color="auto" w:fill="FFFFFF"/>
        <w:spacing w:before="100" w:beforeAutospacing="1" w:after="100" w:afterAutospacing="1" w:line="240" w:lineRule="auto"/>
        <w:rPr>
          <w:rFonts w:eastAsia="Times New Roman" w:cstheme="minorHAnsi"/>
          <w:color w:val="000000"/>
          <w:sz w:val="24"/>
          <w:szCs w:val="24"/>
          <w:lang w:eastAsia="fr-BE"/>
        </w:rPr>
      </w:pPr>
      <w:r w:rsidRPr="00A72B60">
        <w:rPr>
          <w:rFonts w:eastAsia="Times New Roman" w:cstheme="minorHAnsi"/>
          <w:color w:val="000000"/>
          <w:sz w:val="24"/>
          <w:szCs w:val="24"/>
          <w:lang w:eastAsia="fr-BE"/>
        </w:rPr>
        <w:t>Créée en 1952, la Communauté européenne du charbon et de l’acier réunissait la Belgique, l’</w:t>
      </w:r>
      <w:hyperlink r:id="rId5" w:tgtFrame="" w:tooltip="Toute l'information économique et industrielle en Allemagne" w:history="1">
        <w:r w:rsidRPr="00A72B60">
          <w:rPr>
            <w:rFonts w:eastAsia="Times New Roman" w:cstheme="minorHAnsi"/>
            <w:color w:val="000000"/>
            <w:sz w:val="24"/>
            <w:szCs w:val="24"/>
            <w:u w:val="single"/>
            <w:lang w:eastAsia="fr-BE"/>
          </w:rPr>
          <w:t>Allemagne</w:t>
        </w:r>
      </w:hyperlink>
      <w:r w:rsidRPr="00A72B60">
        <w:rPr>
          <w:rFonts w:eastAsia="Times New Roman" w:cstheme="minorHAnsi"/>
          <w:color w:val="000000"/>
          <w:sz w:val="24"/>
          <w:szCs w:val="24"/>
          <w:lang w:eastAsia="fr-BE"/>
        </w:rPr>
        <w:t>, la France, l’</w:t>
      </w:r>
      <w:hyperlink r:id="rId6" w:tgtFrame="" w:tooltip="Informations et actualités économiques et industrielles en Italie" w:history="1">
        <w:r w:rsidRPr="00A72B60">
          <w:rPr>
            <w:rFonts w:eastAsia="Times New Roman" w:cstheme="minorHAnsi"/>
            <w:color w:val="000000"/>
            <w:sz w:val="24"/>
            <w:szCs w:val="24"/>
            <w:u w:val="single"/>
            <w:lang w:eastAsia="fr-BE"/>
          </w:rPr>
          <w:t>Italie</w:t>
        </w:r>
      </w:hyperlink>
      <w:r w:rsidRPr="00A72B60">
        <w:rPr>
          <w:rFonts w:eastAsia="Times New Roman" w:cstheme="minorHAnsi"/>
          <w:color w:val="000000"/>
          <w:sz w:val="24"/>
          <w:szCs w:val="24"/>
          <w:lang w:eastAsia="fr-BE"/>
        </w:rPr>
        <w:t>, le Luxembourg et les Pays-Bas afin d’organiser la liberté de circulation du charbon et de l’acier ainsi que le libre accès aux sources de production. Elle a préfiguré le fonctionnement des institutions européennes actuelles.</w:t>
      </w:r>
    </w:p>
    <w:p w:rsidR="00721B7F" w:rsidRPr="00A72B60" w:rsidRDefault="00A72B60">
      <w:pPr>
        <w:rPr>
          <w:rFonts w:cstheme="minorHAnsi"/>
          <w:sz w:val="24"/>
          <w:szCs w:val="24"/>
        </w:rPr>
      </w:pPr>
    </w:p>
    <w:sectPr w:rsidR="00721B7F" w:rsidRPr="00A72B60" w:rsidSect="004315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E1E4C"/>
    <w:multiLevelType w:val="multilevel"/>
    <w:tmpl w:val="E82E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7776BF"/>
    <w:multiLevelType w:val="multilevel"/>
    <w:tmpl w:val="E7B4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2B60"/>
    <w:rsid w:val="0043157B"/>
    <w:rsid w:val="004B6B43"/>
    <w:rsid w:val="005F4223"/>
    <w:rsid w:val="00A72B60"/>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57B"/>
  </w:style>
  <w:style w:type="paragraph" w:styleId="Titre1">
    <w:name w:val="heading 1"/>
    <w:basedOn w:val="Normal"/>
    <w:link w:val="Titre1Car"/>
    <w:uiPriority w:val="9"/>
    <w:qFormat/>
    <w:rsid w:val="00A72B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A72B60"/>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2B60"/>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A72B60"/>
    <w:rPr>
      <w:rFonts w:ascii="Times New Roman" w:eastAsia="Times New Roman" w:hAnsi="Times New Roman" w:cs="Times New Roman"/>
      <w:b/>
      <w:bCs/>
      <w:sz w:val="36"/>
      <w:szCs w:val="36"/>
      <w:lang w:eastAsia="fr-BE"/>
    </w:rPr>
  </w:style>
  <w:style w:type="character" w:styleId="Lienhypertexte">
    <w:name w:val="Hyperlink"/>
    <w:basedOn w:val="Policepardfaut"/>
    <w:uiPriority w:val="99"/>
    <w:semiHidden/>
    <w:unhideWhenUsed/>
    <w:rsid w:val="00A72B60"/>
    <w:rPr>
      <w:color w:val="0000FF"/>
      <w:u w:val="single"/>
    </w:rPr>
  </w:style>
  <w:style w:type="character" w:customStyle="1" w:styleId="tagart">
    <w:name w:val="tagart"/>
    <w:basedOn w:val="Policepardfaut"/>
    <w:rsid w:val="00A72B60"/>
  </w:style>
  <w:style w:type="paragraph" w:customStyle="1" w:styleId="datetime">
    <w:name w:val="datetime"/>
    <w:basedOn w:val="Normal"/>
    <w:rsid w:val="00A72B60"/>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copyrightimage">
    <w:name w:val="copyrightimage"/>
    <w:basedOn w:val="Policepardfaut"/>
    <w:rsid w:val="00A72B60"/>
  </w:style>
  <w:style w:type="paragraph" w:customStyle="1" w:styleId="titrebloc">
    <w:name w:val="titrebloc"/>
    <w:basedOn w:val="Normal"/>
    <w:rsid w:val="00A72B60"/>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xtsocialbar">
    <w:name w:val="txtsocialbar"/>
    <w:basedOn w:val="Policepardfaut"/>
    <w:rsid w:val="00A72B60"/>
  </w:style>
  <w:style w:type="paragraph" w:styleId="NormalWeb">
    <w:name w:val="Normal (Web)"/>
    <w:basedOn w:val="Normal"/>
    <w:uiPriority w:val="99"/>
    <w:semiHidden/>
    <w:unhideWhenUsed/>
    <w:rsid w:val="00A72B60"/>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intertitre">
    <w:name w:val="intertitre"/>
    <w:basedOn w:val="Policepardfaut"/>
    <w:rsid w:val="00A72B60"/>
  </w:style>
  <w:style w:type="character" w:styleId="Accentuation">
    <w:name w:val="Emphasis"/>
    <w:basedOn w:val="Policepardfaut"/>
    <w:uiPriority w:val="20"/>
    <w:qFormat/>
    <w:rsid w:val="00A72B60"/>
    <w:rPr>
      <w:i/>
      <w:iCs/>
    </w:rPr>
  </w:style>
  <w:style w:type="paragraph" w:styleId="Textedebulles">
    <w:name w:val="Balloon Text"/>
    <w:basedOn w:val="Normal"/>
    <w:link w:val="TextedebullesCar"/>
    <w:uiPriority w:val="99"/>
    <w:semiHidden/>
    <w:unhideWhenUsed/>
    <w:rsid w:val="00A72B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2B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6160817">
      <w:bodyDiv w:val="1"/>
      <w:marLeft w:val="0"/>
      <w:marRight w:val="0"/>
      <w:marTop w:val="0"/>
      <w:marBottom w:val="0"/>
      <w:divBdr>
        <w:top w:val="none" w:sz="0" w:space="0" w:color="auto"/>
        <w:left w:val="none" w:sz="0" w:space="0" w:color="auto"/>
        <w:bottom w:val="none" w:sz="0" w:space="0" w:color="auto"/>
        <w:right w:val="none" w:sz="0" w:space="0" w:color="auto"/>
      </w:divBdr>
      <w:divsChild>
        <w:div w:id="535505187">
          <w:marLeft w:val="0"/>
          <w:marRight w:val="450"/>
          <w:marTop w:val="600"/>
          <w:marBottom w:val="0"/>
          <w:divBdr>
            <w:top w:val="none" w:sz="0" w:space="0" w:color="auto"/>
            <w:left w:val="none" w:sz="0" w:space="0" w:color="auto"/>
            <w:bottom w:val="none" w:sz="0" w:space="0" w:color="auto"/>
            <w:right w:val="none" w:sz="0" w:space="0" w:color="auto"/>
          </w:divBdr>
          <w:divsChild>
            <w:div w:id="144051665">
              <w:marLeft w:val="0"/>
              <w:marRight w:val="0"/>
              <w:marTop w:val="0"/>
              <w:marBottom w:val="0"/>
              <w:divBdr>
                <w:top w:val="single" w:sz="48" w:space="0" w:color="BB0D22"/>
                <w:left w:val="none" w:sz="0" w:space="0" w:color="auto"/>
                <w:bottom w:val="none" w:sz="0" w:space="0" w:color="auto"/>
                <w:right w:val="none" w:sz="0" w:space="0" w:color="auto"/>
              </w:divBdr>
              <w:divsChild>
                <w:div w:id="1215502561">
                  <w:marLeft w:val="0"/>
                  <w:marRight w:val="0"/>
                  <w:marTop w:val="0"/>
                  <w:marBottom w:val="0"/>
                  <w:divBdr>
                    <w:top w:val="none" w:sz="0" w:space="0" w:color="auto"/>
                    <w:left w:val="single" w:sz="6" w:space="9" w:color="ECECEC"/>
                    <w:bottom w:val="single" w:sz="6" w:space="26" w:color="ECECEC"/>
                    <w:right w:val="single" w:sz="6" w:space="9" w:color="ECECEC"/>
                  </w:divBdr>
                </w:div>
              </w:divsChild>
            </w:div>
          </w:divsChild>
        </w:div>
        <w:div w:id="2001736100">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inenouvelle.com/italie/" TargetMode="External"/><Relationship Id="rId5" Type="http://schemas.openxmlformats.org/officeDocument/2006/relationships/hyperlink" Target="https://www.usinenouvelle.com/allemagn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535</Words>
  <Characters>2943</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desk3</cp:lastModifiedBy>
  <cp:revision>1</cp:revision>
  <dcterms:created xsi:type="dcterms:W3CDTF">2019-10-02T06:22:00Z</dcterms:created>
  <dcterms:modified xsi:type="dcterms:W3CDTF">2019-10-02T06:27:00Z</dcterms:modified>
</cp:coreProperties>
</file>